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7" w:rsidRDefault="00C671E7" w:rsidP="00C671E7">
      <w:pPr>
        <w:jc w:val="center"/>
        <w:rPr>
          <w:b/>
        </w:rPr>
      </w:pPr>
      <w:r>
        <w:rPr>
          <w:b/>
        </w:rPr>
        <w:t>CARCINOMA DEL COLON: TERAPIA FASE PRECAUZIONALE.</w:t>
      </w:r>
    </w:p>
    <w:p w:rsidR="00C671E7" w:rsidRDefault="00C671E7" w:rsidP="00C671E7">
      <w:pPr>
        <w:jc w:val="both"/>
        <w:rPr>
          <w:b/>
          <w:sz w:val="32"/>
          <w:szCs w:val="32"/>
        </w:rPr>
      </w:pPr>
    </w:p>
    <w:p w:rsidR="00C671E7" w:rsidRDefault="00C671E7" w:rsidP="00C671E7">
      <w:pPr>
        <w:jc w:val="both"/>
        <w:rPr>
          <w:b/>
          <w:sz w:val="32"/>
          <w:szCs w:val="32"/>
        </w:rPr>
      </w:pPr>
    </w:p>
    <w:p w:rsidR="00C671E7" w:rsidRDefault="00371320" w:rsidP="00C671E7">
      <w:pPr>
        <w:rPr>
          <w:b/>
          <w:sz w:val="32"/>
          <w:szCs w:val="32"/>
        </w:rPr>
      </w:pPr>
      <w:r>
        <w:pict>
          <v:roundrect id="_x0000_s1026" style="position:absolute;margin-left:386.25pt;margin-top:58.4pt;width:160.8pt;height:40.9pt;z-index:251654144;v-text-anchor:middle" arcsize="10923f" filled="f" fillcolor="#bbe0e3">
            <v:textbox style="mso-next-textbox:#_x0000_s1026">
              <w:txbxContent>
                <w:p w:rsidR="00C671E7" w:rsidRDefault="00C671E7" w:rsidP="00C671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FUFA/CAPECITABINA </w:t>
                  </w:r>
                </w:p>
                <w:p w:rsidR="00C671E7" w:rsidRDefault="00C671E7" w:rsidP="00C671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per 6 mesi</w:t>
                  </w:r>
                </w:p>
                <w:p w:rsidR="00C671E7" w:rsidRDefault="00C671E7" w:rsidP="00C671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>
        <w:pict>
          <v:line id="_x0000_s1028" style="position:absolute;z-index:251655168" from="243.75pt,70.4pt" to="369.75pt,70.5pt">
            <v:stroke endarrow="block"/>
          </v:line>
        </w:pict>
      </w:r>
      <w:r>
        <w:pict>
          <v:line id="_x0000_s1030" style="position:absolute;flip:y;z-index:251656192" from="243.75pt,22.8pt" to="369.75pt,22.9pt">
            <v:stroke endarrow="block"/>
          </v:line>
        </w:pict>
      </w:r>
      <w:r>
        <w:pict>
          <v:line id="_x0000_s1032" style="position:absolute;flip:y;z-index:251657216" from="240pt,176.4pt" to="366pt,176.5pt">
            <v:stroke endarrow="block"/>
          </v:line>
        </w:pict>
      </w:r>
      <w:r>
        <w:pict>
          <v:roundrect id="_x0000_s1033" style="position:absolute;margin-left:386.25pt;margin-top:160.85pt;width:220.05pt;height:41.35pt;z-index:251658240;v-text-anchor:middle" arcsize="10923f" filled="f" fillcolor="#bbe0e3">
            <v:textbox style="mso-next-textbox:#_x0000_s1033">
              <w:txbxContent>
                <w:p w:rsidR="00C671E7" w:rsidRDefault="00C671E7" w:rsidP="00C671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FUFA/Capecitabina +/- Oxaliplatino</w:t>
                  </w:r>
                </w:p>
                <w:p w:rsidR="00C671E7" w:rsidRDefault="00C671E7" w:rsidP="00C671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>
        <w:pict>
          <v:roundrect id="_x0000_s1031" style="position:absolute;margin-left:9pt;margin-top:2in;width:200.55pt;height:75pt;z-index:251659264;v-text-anchor:middle" arcsize="10923f" filled="f" fillcolor="#bbe0e3">
            <v:textbox style="mso-next-textbox:#_x0000_s1031">
              <w:txbxContent>
                <w:p w:rsidR="00C671E7" w:rsidRDefault="00C671E7" w:rsidP="00C671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Ca colon Stadio B2*</w:t>
                  </w:r>
                </w:p>
                <w:p w:rsidR="00C671E7" w:rsidRDefault="00C671E7" w:rsidP="00C671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(alto rischio)</w:t>
                  </w:r>
                </w:p>
              </w:txbxContent>
            </v:textbox>
          </v:roundrect>
        </w:pict>
      </w:r>
      <w:r>
        <w:pict>
          <v:roundrect id="_x0000_s1029" style="position:absolute;margin-left:386.25pt;margin-top:-.05pt;width:220.05pt;height:41.35pt;z-index:251660288;v-text-anchor:middle" arcsize="10923f" filled="f" fillcolor="#bbe0e3">
            <v:textbox style="mso-next-textbox:#_x0000_s1029">
              <w:txbxContent>
                <w:p w:rsidR="00C671E7" w:rsidRDefault="00C671E7" w:rsidP="00C671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FOLFOX per 12 somministrazioni</w:t>
                  </w:r>
                </w:p>
                <w:p w:rsidR="00C671E7" w:rsidRDefault="00C671E7" w:rsidP="00C671E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XELOX per 8 cicli</w:t>
                  </w:r>
                </w:p>
                <w:p w:rsidR="00C671E7" w:rsidRDefault="00C671E7" w:rsidP="00C671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>
        <w:pict>
          <v:roundrect id="_x0000_s1027" style="position:absolute;margin-left:9pt;margin-top:10.7pt;width:196.8pt;height:75pt;z-index:251661312;v-text-anchor:middle" arcsize="10923f" filled="f" fillcolor="#bbe0e3">
            <v:textbox style="mso-next-textbox:#_x0000_s1027">
              <w:txbxContent>
                <w:p w:rsidR="00C671E7" w:rsidRDefault="00C671E7" w:rsidP="00C671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Ca colon Stadio C</w:t>
                  </w:r>
                </w:p>
                <w:p w:rsidR="00C671E7" w:rsidRDefault="00C671E7" w:rsidP="00C671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(sec. Aster e </w:t>
                  </w:r>
                  <w:proofErr w:type="spellStart"/>
                  <w:r>
                    <w:rPr>
                      <w:rFonts w:ascii="Arial" w:hAnsi="Arial" w:cs="Arial"/>
                      <w:bCs/>
                      <w:color w:val="000000"/>
                    </w:rPr>
                    <w:t>Coller</w:t>
                  </w:r>
                  <w:proofErr w:type="spellEnd"/>
                  <w:r>
                    <w:rPr>
                      <w:rFonts w:ascii="Arial" w:hAnsi="Arial" w:cs="Arial"/>
                      <w:bCs/>
                      <w:color w:val="000000"/>
                    </w:rPr>
                    <w:t>)</w:t>
                  </w:r>
                </w:p>
              </w:txbxContent>
            </v:textbox>
          </v:roundrect>
        </w:pict>
      </w:r>
    </w:p>
    <w:p w:rsidR="00C671E7" w:rsidRDefault="00C671E7" w:rsidP="00C671E7">
      <w:pPr>
        <w:rPr>
          <w:b/>
          <w:sz w:val="32"/>
          <w:szCs w:val="32"/>
        </w:rPr>
      </w:pPr>
    </w:p>
    <w:p w:rsidR="00C671E7" w:rsidRDefault="00C671E7" w:rsidP="00C671E7">
      <w:pPr>
        <w:rPr>
          <w:b/>
          <w:sz w:val="28"/>
          <w:szCs w:val="28"/>
        </w:rPr>
      </w:pPr>
    </w:p>
    <w:p w:rsidR="00C671E7" w:rsidRDefault="00C671E7" w:rsidP="00C671E7">
      <w:pPr>
        <w:tabs>
          <w:tab w:val="left" w:pos="12690"/>
        </w:tabs>
      </w:pPr>
    </w:p>
    <w:p w:rsidR="00C671E7" w:rsidRDefault="00C671E7" w:rsidP="00C671E7"/>
    <w:p w:rsidR="00C671E7" w:rsidRDefault="00C671E7" w:rsidP="00C671E7"/>
    <w:p w:rsidR="00C671E7" w:rsidRDefault="00C671E7" w:rsidP="00C671E7"/>
    <w:p w:rsidR="00C671E7" w:rsidRDefault="00C671E7" w:rsidP="00C671E7"/>
    <w:p w:rsidR="00C671E7" w:rsidRDefault="00C671E7" w:rsidP="00C671E7"/>
    <w:p w:rsidR="00C671E7" w:rsidRDefault="00C671E7" w:rsidP="00C671E7"/>
    <w:p w:rsidR="00C671E7" w:rsidRDefault="00C671E7" w:rsidP="00C671E7"/>
    <w:p w:rsidR="00C671E7" w:rsidRDefault="00C671E7" w:rsidP="00C671E7"/>
    <w:p w:rsidR="00C671E7" w:rsidRDefault="00C671E7" w:rsidP="00C671E7"/>
    <w:p w:rsidR="00C671E7" w:rsidRDefault="00C671E7" w:rsidP="00C671E7"/>
    <w:p w:rsidR="00C671E7" w:rsidRDefault="00C671E7" w:rsidP="00C671E7"/>
    <w:p w:rsidR="00C671E7" w:rsidRDefault="00C671E7" w:rsidP="00C671E7"/>
    <w:p w:rsidR="00C671E7" w:rsidRDefault="00C671E7" w:rsidP="00C671E7"/>
    <w:p w:rsidR="00C671E7" w:rsidRDefault="00C671E7" w:rsidP="00C671E7"/>
    <w:p w:rsidR="00C671E7" w:rsidRDefault="00C671E7" w:rsidP="00C671E7"/>
    <w:p w:rsidR="00C671E7" w:rsidRPr="00371320" w:rsidRDefault="00C671E7" w:rsidP="00C671E7">
      <w:pPr>
        <w:ind w:left="720"/>
        <w:rPr>
          <w:sz w:val="22"/>
          <w:szCs w:val="22"/>
        </w:rPr>
      </w:pPr>
      <w:r>
        <w:t>*</w:t>
      </w:r>
      <w:r w:rsidRPr="00371320">
        <w:rPr>
          <w:sz w:val="22"/>
          <w:szCs w:val="22"/>
        </w:rPr>
        <w:t>B2 alto rischio (presenza di almeno uno dei seguenti fattori): Linfadenectomia inadeguata (&lt; 12 linfonodi), perforazione, occlusione intestinale, invasione vascolare e/o</w:t>
      </w:r>
      <w:r w:rsidR="00371320" w:rsidRPr="00371320">
        <w:rPr>
          <w:sz w:val="22"/>
          <w:szCs w:val="22"/>
        </w:rPr>
        <w:t xml:space="preserve"> linfatica e/o </w:t>
      </w:r>
      <w:proofErr w:type="spellStart"/>
      <w:r w:rsidR="00371320" w:rsidRPr="00371320">
        <w:rPr>
          <w:sz w:val="22"/>
          <w:szCs w:val="22"/>
        </w:rPr>
        <w:t>perineurale</w:t>
      </w:r>
      <w:proofErr w:type="spellEnd"/>
      <w:r w:rsidR="00371320" w:rsidRPr="00371320">
        <w:rPr>
          <w:sz w:val="22"/>
          <w:szCs w:val="22"/>
        </w:rPr>
        <w:t xml:space="preserve">, G3 (da non considerare nei casi con elevata instabilità dei </w:t>
      </w:r>
      <w:proofErr w:type="spellStart"/>
      <w:r w:rsidR="00371320" w:rsidRPr="00371320">
        <w:rPr>
          <w:sz w:val="22"/>
          <w:szCs w:val="22"/>
        </w:rPr>
        <w:t>microsatelliti</w:t>
      </w:r>
      <w:proofErr w:type="spellEnd"/>
      <w:r w:rsidR="00371320" w:rsidRPr="00371320">
        <w:rPr>
          <w:sz w:val="22"/>
          <w:szCs w:val="22"/>
        </w:rPr>
        <w:t>)</w:t>
      </w:r>
      <w:r w:rsidRPr="00371320">
        <w:rPr>
          <w:sz w:val="22"/>
          <w:szCs w:val="22"/>
        </w:rPr>
        <w:t>, pT4.</w:t>
      </w:r>
    </w:p>
    <w:p w:rsidR="00C671E7" w:rsidRDefault="00C671E7" w:rsidP="00C671E7">
      <w:pPr>
        <w:ind w:left="720"/>
      </w:pPr>
    </w:p>
    <w:p w:rsidR="00C671E7" w:rsidRDefault="00C671E7" w:rsidP="00C671E7">
      <w:pPr>
        <w:ind w:left="720"/>
      </w:pPr>
    </w:p>
    <w:p w:rsidR="00371320" w:rsidRPr="00371320" w:rsidRDefault="00C671E7" w:rsidP="00371320">
      <w:pPr>
        <w:ind w:left="720" w:hanging="705"/>
        <w:rPr>
          <w:sz w:val="20"/>
          <w:szCs w:val="20"/>
        </w:rPr>
      </w:pPr>
      <w:r>
        <w:t>NB:</w:t>
      </w:r>
      <w:r>
        <w:tab/>
      </w:r>
      <w:r w:rsidR="00371320">
        <w:rPr>
          <w:sz w:val="20"/>
          <w:szCs w:val="20"/>
        </w:rPr>
        <w:t>-In casi senza fattori di rischio</w:t>
      </w:r>
      <w:r w:rsidR="00371320" w:rsidRPr="00371320">
        <w:rPr>
          <w:sz w:val="20"/>
          <w:szCs w:val="20"/>
        </w:rPr>
        <w:t>, nei pazienti in stadio II (pT3 pN0)</w:t>
      </w:r>
      <w:r w:rsidRPr="00371320">
        <w:rPr>
          <w:sz w:val="20"/>
          <w:szCs w:val="20"/>
        </w:rPr>
        <w:t xml:space="preserve">, può essere d’ausilio lo studio dei </w:t>
      </w:r>
      <w:proofErr w:type="spellStart"/>
      <w:r w:rsidRPr="00371320">
        <w:rPr>
          <w:sz w:val="20"/>
          <w:szCs w:val="20"/>
        </w:rPr>
        <w:t>microsatelliti</w:t>
      </w:r>
      <w:proofErr w:type="spellEnd"/>
      <w:r w:rsidR="00371320" w:rsidRPr="00371320">
        <w:rPr>
          <w:sz w:val="20"/>
          <w:szCs w:val="20"/>
        </w:rPr>
        <w:t xml:space="preserve">/MMR </w:t>
      </w:r>
      <w:r w:rsidRPr="00371320">
        <w:rPr>
          <w:sz w:val="20"/>
          <w:szCs w:val="20"/>
        </w:rPr>
        <w:t>al fine della decisione terapeutica.</w:t>
      </w:r>
      <w:r w:rsidR="00371320" w:rsidRPr="00371320">
        <w:rPr>
          <w:sz w:val="20"/>
          <w:szCs w:val="20"/>
        </w:rPr>
        <w:t xml:space="preserve"> </w:t>
      </w:r>
      <w:r w:rsidR="00371320" w:rsidRPr="00371320">
        <w:rPr>
          <w:rFonts w:ascii="Cambria" w:eastAsia="Calibri" w:hAnsi="Cambria"/>
          <w:sz w:val="20"/>
          <w:szCs w:val="20"/>
          <w:u w:val="single"/>
          <w:lang w:eastAsia="en-US"/>
        </w:rPr>
        <w:t>L’immunoistochimica per MMR e l’analisi del DNA per MSI rappresentano metodi diversi che misurano il medesimo effetto biologico</w:t>
      </w:r>
      <w:r w:rsidR="00371320" w:rsidRPr="00371320">
        <w:rPr>
          <w:rFonts w:ascii="Cambria" w:eastAsia="Calibri" w:hAnsi="Cambria"/>
          <w:sz w:val="20"/>
          <w:szCs w:val="20"/>
          <w:lang w:eastAsia="en-US"/>
        </w:rPr>
        <w:t>.</w:t>
      </w:r>
    </w:p>
    <w:p w:rsidR="00371320" w:rsidRPr="00371320" w:rsidRDefault="00371320" w:rsidP="00371320">
      <w:pPr>
        <w:spacing w:line="276" w:lineRule="auto"/>
        <w:ind w:firstLine="708"/>
        <w:rPr>
          <w:rFonts w:ascii="Cambria" w:eastAsia="Calibri" w:hAnsi="Cambria"/>
          <w:sz w:val="20"/>
          <w:szCs w:val="20"/>
          <w:lang w:eastAsia="en-US"/>
        </w:rPr>
      </w:pPr>
      <w:r w:rsidRPr="00371320">
        <w:rPr>
          <w:rFonts w:ascii="Cambria" w:eastAsia="Calibri" w:hAnsi="Cambria"/>
          <w:sz w:val="20"/>
          <w:szCs w:val="20"/>
          <w:lang w:eastAsia="en-US"/>
        </w:rPr>
        <w:t xml:space="preserve">IHC: </w:t>
      </w:r>
      <w:proofErr w:type="spellStart"/>
      <w:r w:rsidRPr="00371320">
        <w:rPr>
          <w:rFonts w:ascii="Cambria" w:eastAsia="Calibri" w:hAnsi="Cambria"/>
          <w:sz w:val="20"/>
          <w:szCs w:val="20"/>
          <w:lang w:eastAsia="en-US"/>
        </w:rPr>
        <w:t>pMMR</w:t>
      </w:r>
      <w:proofErr w:type="spellEnd"/>
      <w:r w:rsidRPr="00371320">
        <w:rPr>
          <w:rFonts w:ascii="Cambria" w:eastAsia="Calibri" w:hAnsi="Cambria"/>
          <w:sz w:val="20"/>
          <w:szCs w:val="20"/>
          <w:lang w:eastAsia="en-US"/>
        </w:rPr>
        <w:t xml:space="preserve"> (presenza delle proteine del MMR) </w:t>
      </w:r>
      <w:r w:rsidRPr="00371320">
        <w:rPr>
          <w:rFonts w:ascii="Cambria" w:eastAsia="Calibri" w:hAnsi="Cambria"/>
          <w:sz w:val="20"/>
          <w:szCs w:val="20"/>
          <w:lang w:eastAsia="en-US"/>
        </w:rPr>
        <w:sym w:font="Wingdings" w:char="F0E0"/>
      </w:r>
      <w:r w:rsidRPr="00371320">
        <w:rPr>
          <w:rFonts w:ascii="Cambria" w:eastAsia="Calibri" w:hAnsi="Cambria"/>
          <w:sz w:val="20"/>
          <w:szCs w:val="20"/>
          <w:lang w:eastAsia="en-US"/>
        </w:rPr>
        <w:t xml:space="preserve"> MSS (correlato biologico) </w:t>
      </w:r>
      <w:r w:rsidRPr="00371320">
        <w:rPr>
          <w:rFonts w:ascii="Cambria" w:eastAsia="Calibri" w:hAnsi="Cambria"/>
          <w:sz w:val="20"/>
          <w:szCs w:val="20"/>
          <w:lang w:eastAsia="en-US"/>
        </w:rPr>
        <w:sym w:font="Wingdings" w:char="F0E0"/>
      </w:r>
      <w:r w:rsidRPr="00371320">
        <w:rPr>
          <w:rFonts w:ascii="Cambria" w:eastAsia="Calibri" w:hAnsi="Cambria"/>
          <w:sz w:val="20"/>
          <w:szCs w:val="20"/>
          <w:lang w:eastAsia="en-US"/>
        </w:rPr>
        <w:t xml:space="preserve"> </w:t>
      </w:r>
      <w:r>
        <w:rPr>
          <w:rFonts w:ascii="Cambria" w:eastAsia="Calibri" w:hAnsi="Cambria"/>
          <w:sz w:val="20"/>
          <w:szCs w:val="20"/>
          <w:lang w:eastAsia="en-US"/>
        </w:rPr>
        <w:t xml:space="preserve">prognosi sfavorevole; </w:t>
      </w:r>
      <w:r w:rsidRPr="00371320">
        <w:rPr>
          <w:rFonts w:ascii="Cambria" w:eastAsia="Calibri" w:hAnsi="Cambria"/>
          <w:sz w:val="20"/>
          <w:szCs w:val="20"/>
          <w:lang w:eastAsia="en-US"/>
        </w:rPr>
        <w:t xml:space="preserve">beneficio con </w:t>
      </w:r>
      <w:proofErr w:type="spellStart"/>
      <w:r w:rsidRPr="00371320">
        <w:rPr>
          <w:rFonts w:ascii="Cambria" w:eastAsia="Calibri" w:hAnsi="Cambria"/>
          <w:sz w:val="20"/>
          <w:szCs w:val="20"/>
          <w:lang w:eastAsia="en-US"/>
        </w:rPr>
        <w:t>fluoropirimidina</w:t>
      </w:r>
      <w:proofErr w:type="spellEnd"/>
      <w:r w:rsidRPr="00371320">
        <w:rPr>
          <w:rFonts w:ascii="Cambria" w:eastAsia="Calibri" w:hAnsi="Cambria"/>
          <w:sz w:val="20"/>
          <w:szCs w:val="20"/>
          <w:lang w:eastAsia="en-US"/>
        </w:rPr>
        <w:t>.</w:t>
      </w:r>
    </w:p>
    <w:p w:rsidR="00371320" w:rsidRPr="00371320" w:rsidRDefault="00371320" w:rsidP="00371320">
      <w:pPr>
        <w:spacing w:line="276" w:lineRule="auto"/>
        <w:ind w:firstLine="708"/>
        <w:rPr>
          <w:rFonts w:ascii="Cambria" w:eastAsia="Calibri" w:hAnsi="Cambria"/>
          <w:sz w:val="20"/>
          <w:szCs w:val="20"/>
          <w:lang w:eastAsia="en-US"/>
        </w:rPr>
      </w:pPr>
      <w:r w:rsidRPr="00371320">
        <w:rPr>
          <w:rFonts w:ascii="Cambria" w:eastAsia="Calibri" w:hAnsi="Cambria"/>
          <w:sz w:val="20"/>
          <w:szCs w:val="20"/>
          <w:lang w:eastAsia="en-US"/>
        </w:rPr>
        <w:t xml:space="preserve">IHC: </w:t>
      </w:r>
      <w:proofErr w:type="spellStart"/>
      <w:r w:rsidRPr="00371320">
        <w:rPr>
          <w:rFonts w:ascii="Cambria" w:eastAsia="Calibri" w:hAnsi="Cambria"/>
          <w:sz w:val="20"/>
          <w:szCs w:val="20"/>
          <w:lang w:eastAsia="en-US"/>
        </w:rPr>
        <w:t>dMMR</w:t>
      </w:r>
      <w:proofErr w:type="spellEnd"/>
      <w:r w:rsidRPr="00371320">
        <w:rPr>
          <w:rFonts w:ascii="Cambria" w:eastAsia="Calibri" w:hAnsi="Cambria"/>
          <w:sz w:val="20"/>
          <w:szCs w:val="20"/>
          <w:lang w:eastAsia="en-US"/>
        </w:rPr>
        <w:t xml:space="preserve"> (assenza anche di 1 sola proteina del MMR) </w:t>
      </w:r>
      <w:r w:rsidRPr="00371320">
        <w:rPr>
          <w:rFonts w:ascii="Cambria" w:eastAsia="Calibri" w:hAnsi="Cambria"/>
          <w:sz w:val="20"/>
          <w:szCs w:val="20"/>
          <w:lang w:eastAsia="en-US"/>
        </w:rPr>
        <w:sym w:font="Wingdings" w:char="F0E0"/>
      </w:r>
      <w:r w:rsidRPr="00371320">
        <w:rPr>
          <w:rFonts w:ascii="Cambria" w:eastAsia="Calibri" w:hAnsi="Cambria"/>
          <w:sz w:val="20"/>
          <w:szCs w:val="20"/>
          <w:lang w:eastAsia="en-US"/>
        </w:rPr>
        <w:t xml:space="preserve"> MSI (correlato biologico) </w:t>
      </w:r>
      <w:r w:rsidRPr="00371320">
        <w:rPr>
          <w:rFonts w:ascii="Cambria" w:eastAsia="Calibri" w:hAnsi="Cambria"/>
          <w:sz w:val="20"/>
          <w:szCs w:val="20"/>
          <w:lang w:eastAsia="en-US"/>
        </w:rPr>
        <w:sym w:font="Wingdings" w:char="F0E0"/>
      </w:r>
      <w:r>
        <w:rPr>
          <w:rFonts w:ascii="Cambria" w:eastAsia="Calibri" w:hAnsi="Cambria"/>
          <w:sz w:val="20"/>
          <w:szCs w:val="20"/>
          <w:lang w:eastAsia="en-US"/>
        </w:rPr>
        <w:t xml:space="preserve"> prognosi favorevole;</w:t>
      </w:r>
      <w:bookmarkStart w:id="0" w:name="_GoBack"/>
      <w:bookmarkEnd w:id="0"/>
      <w:r w:rsidRPr="00371320">
        <w:rPr>
          <w:rFonts w:ascii="Cambria" w:eastAsia="Calibri" w:hAnsi="Cambria"/>
          <w:sz w:val="20"/>
          <w:szCs w:val="20"/>
          <w:lang w:eastAsia="en-US"/>
        </w:rPr>
        <w:t xml:space="preserve"> non beneficio da </w:t>
      </w:r>
      <w:proofErr w:type="spellStart"/>
      <w:r w:rsidRPr="00371320">
        <w:rPr>
          <w:rFonts w:ascii="Cambria" w:eastAsia="Calibri" w:hAnsi="Cambria"/>
          <w:sz w:val="20"/>
          <w:szCs w:val="20"/>
          <w:lang w:eastAsia="en-US"/>
        </w:rPr>
        <w:t>fluoropirimidina</w:t>
      </w:r>
      <w:proofErr w:type="spellEnd"/>
      <w:r w:rsidRPr="00371320">
        <w:rPr>
          <w:rFonts w:ascii="Cambria" w:eastAsia="Calibri" w:hAnsi="Cambria"/>
          <w:sz w:val="20"/>
          <w:szCs w:val="20"/>
          <w:lang w:eastAsia="en-US"/>
        </w:rPr>
        <w:t>.</w:t>
      </w:r>
    </w:p>
    <w:p w:rsidR="00371320" w:rsidRDefault="00371320" w:rsidP="00371320">
      <w:pPr>
        <w:rPr>
          <w:sz w:val="20"/>
          <w:szCs w:val="20"/>
        </w:rPr>
      </w:pPr>
    </w:p>
    <w:p w:rsidR="0016295A" w:rsidRDefault="00C671E7" w:rsidP="00371320">
      <w:pPr>
        <w:ind w:firstLine="708"/>
        <w:rPr>
          <w:sz w:val="20"/>
          <w:szCs w:val="20"/>
        </w:rPr>
      </w:pPr>
      <w:r w:rsidRPr="00371320">
        <w:rPr>
          <w:sz w:val="20"/>
          <w:szCs w:val="20"/>
        </w:rPr>
        <w:t>-Il valore elevato di CEA preoperatorio potrebbe essere preso in considerazione come fattore di rischio</w:t>
      </w:r>
      <w:r w:rsidR="00283254" w:rsidRPr="00371320">
        <w:rPr>
          <w:sz w:val="20"/>
          <w:szCs w:val="20"/>
        </w:rPr>
        <w:t>, anche se di incerto significato.</w:t>
      </w:r>
    </w:p>
    <w:p w:rsidR="00371320" w:rsidRDefault="00371320" w:rsidP="00371320">
      <w:pPr>
        <w:ind w:firstLine="708"/>
        <w:rPr>
          <w:sz w:val="20"/>
          <w:szCs w:val="20"/>
        </w:rPr>
      </w:pPr>
    </w:p>
    <w:p w:rsidR="00371320" w:rsidRPr="00371320" w:rsidRDefault="00371320" w:rsidP="00371320">
      <w:pPr>
        <w:ind w:firstLine="708"/>
        <w:jc w:val="right"/>
        <w:rPr>
          <w:i/>
          <w:sz w:val="22"/>
          <w:szCs w:val="22"/>
        </w:rPr>
      </w:pPr>
      <w:r w:rsidRPr="00371320">
        <w:rPr>
          <w:i/>
          <w:sz w:val="22"/>
          <w:szCs w:val="22"/>
        </w:rPr>
        <w:t>Marzo 2018</w:t>
      </w:r>
    </w:p>
    <w:sectPr w:rsidR="00371320" w:rsidRPr="00371320" w:rsidSect="00C671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1E7"/>
    <w:rsid w:val="00001A9E"/>
    <w:rsid w:val="00283254"/>
    <w:rsid w:val="00371320"/>
    <w:rsid w:val="003767B2"/>
    <w:rsid w:val="005E7001"/>
    <w:rsid w:val="00B524C1"/>
    <w:rsid w:val="00C6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1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nadia.bianco</dc:creator>
  <cp:keywords/>
  <dc:description/>
  <cp:lastModifiedBy>Giandomenico Di Menna</cp:lastModifiedBy>
  <cp:revision>3</cp:revision>
  <dcterms:created xsi:type="dcterms:W3CDTF">2014-04-15T12:34:00Z</dcterms:created>
  <dcterms:modified xsi:type="dcterms:W3CDTF">2018-02-08T14:21:00Z</dcterms:modified>
</cp:coreProperties>
</file>